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3F2" w:rsidRDefault="005D4B19">
      <w:pPr>
        <w:pStyle w:val="1"/>
        <w:spacing w:line="700" w:lineRule="exact"/>
        <w:jc w:val="center"/>
        <w:rPr>
          <w:rFonts w:ascii="方正小标宋简体" w:eastAsia="方正小标宋简体" w:hAnsi="方正小标宋简体" w:cs="方正小标宋简体"/>
          <w:b w:val="0"/>
          <w:bCs/>
          <w:szCs w:val="44"/>
        </w:rPr>
      </w:pPr>
      <w:proofErr w:type="gramStart"/>
      <w:r>
        <w:rPr>
          <w:rFonts w:ascii="方正小标宋简体" w:eastAsia="方正小标宋简体" w:hAnsi="方正小标宋简体" w:cs="方正小标宋简体" w:hint="eastAsia"/>
          <w:b w:val="0"/>
          <w:bCs/>
          <w:szCs w:val="44"/>
        </w:rPr>
        <w:t>珠山区</w:t>
      </w:r>
      <w:proofErr w:type="gramEnd"/>
      <w:r>
        <w:rPr>
          <w:rFonts w:ascii="方正小标宋简体" w:eastAsia="方正小标宋简体" w:hAnsi="方正小标宋简体" w:cs="方正小标宋简体" w:hint="eastAsia"/>
          <w:b w:val="0"/>
          <w:bCs/>
          <w:szCs w:val="44"/>
        </w:rPr>
        <w:t>机关事务管理局</w:t>
      </w:r>
      <w:r w:rsidR="006434AB">
        <w:rPr>
          <w:rFonts w:ascii="方正小标宋简体" w:eastAsia="方正小标宋简体" w:hAnsi="方正小标宋简体" w:cs="方正小标宋简体" w:hint="eastAsia"/>
          <w:b w:val="0"/>
          <w:bCs/>
          <w:szCs w:val="44"/>
        </w:rPr>
        <w:t>2020年部门</w:t>
      </w:r>
    </w:p>
    <w:p w:rsidR="005B33F2" w:rsidRDefault="006434AB">
      <w:pPr>
        <w:pStyle w:val="1"/>
        <w:spacing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预算草案编制说明</w:t>
      </w:r>
    </w:p>
    <w:p w:rsidR="005B33F2" w:rsidRDefault="006434AB" w:rsidP="002924CE">
      <w:pPr>
        <w:ind w:firstLineChars="1200" w:firstLine="3373"/>
        <w:rPr>
          <w:rFonts w:ascii="楷体_GB2312" w:eastAsia="楷体_GB2312" w:hAnsi="楷体_GB2312" w:cs="楷体_GB2312"/>
          <w:b/>
          <w:sz w:val="28"/>
          <w:szCs w:val="28"/>
        </w:rPr>
      </w:pPr>
      <w:r>
        <w:rPr>
          <w:rFonts w:ascii="楷体_GB2312" w:eastAsia="楷体_GB2312" w:hAnsi="楷体_GB2312" w:cs="楷体_GB2312" w:hint="eastAsia"/>
          <w:b/>
          <w:sz w:val="28"/>
          <w:szCs w:val="28"/>
        </w:rPr>
        <w:t>（样  式）</w:t>
      </w:r>
    </w:p>
    <w:p w:rsidR="005B33F2" w:rsidRDefault="006434AB">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一、部门主要职责</w:t>
      </w:r>
    </w:p>
    <w:p w:rsidR="00863EA0" w:rsidRDefault="00863EA0" w:rsidP="00863EA0">
      <w:pPr>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珠山区</w:t>
      </w:r>
      <w:proofErr w:type="gramEnd"/>
      <w:r>
        <w:rPr>
          <w:rFonts w:ascii="仿宋_GB2312" w:eastAsia="仿宋_GB2312" w:hAnsi="宋体" w:cs="仿宋_GB2312" w:hint="eastAsia"/>
          <w:sz w:val="32"/>
          <w:szCs w:val="32"/>
        </w:rPr>
        <w:t>机关事务管理局是主管工作的区政府（区委）组成部门（直属机构），主要职责是：</w:t>
      </w:r>
    </w:p>
    <w:p w:rsidR="00863EA0" w:rsidRDefault="00863EA0" w:rsidP="00863EA0">
      <w:pPr>
        <w:pStyle w:val="a6"/>
        <w:numPr>
          <w:ilvl w:val="0"/>
          <w:numId w:val="2"/>
        </w:numPr>
        <w:ind w:firstLineChars="0"/>
        <w:rPr>
          <w:sz w:val="30"/>
          <w:szCs w:val="30"/>
        </w:rPr>
      </w:pPr>
      <w:r>
        <w:rPr>
          <w:rFonts w:hint="eastAsia"/>
          <w:sz w:val="30"/>
          <w:szCs w:val="30"/>
        </w:rPr>
        <w:t>研究制定区级机关事务工作的具体规章制度和工作计划并组织实施，对机关行政后勤管理工作和机关后勤服务部门进行业务指导，会同有关部门协调解决机关后勤工作中的有关问题；</w:t>
      </w:r>
    </w:p>
    <w:p w:rsidR="00863EA0" w:rsidRDefault="00863EA0" w:rsidP="00863EA0">
      <w:pPr>
        <w:pStyle w:val="a6"/>
        <w:numPr>
          <w:ilvl w:val="0"/>
          <w:numId w:val="2"/>
        </w:numPr>
        <w:ind w:firstLineChars="0"/>
        <w:rPr>
          <w:sz w:val="30"/>
          <w:szCs w:val="30"/>
        </w:rPr>
      </w:pPr>
      <w:r>
        <w:rPr>
          <w:rFonts w:hint="eastAsia"/>
          <w:sz w:val="30"/>
          <w:szCs w:val="30"/>
        </w:rPr>
        <w:t>负责区委、区人大、区政府、区政协的重要会议和全区性重大活动的后勤服务工作；</w:t>
      </w:r>
    </w:p>
    <w:p w:rsidR="00863EA0" w:rsidRDefault="00863EA0" w:rsidP="00863EA0">
      <w:pPr>
        <w:pStyle w:val="a6"/>
        <w:numPr>
          <w:ilvl w:val="0"/>
          <w:numId w:val="2"/>
        </w:numPr>
        <w:ind w:firstLineChars="0"/>
        <w:rPr>
          <w:sz w:val="30"/>
          <w:szCs w:val="30"/>
        </w:rPr>
      </w:pPr>
      <w:r>
        <w:rPr>
          <w:sz w:val="30"/>
          <w:szCs w:val="30"/>
        </w:rPr>
        <w:t>.</w:t>
      </w:r>
      <w:r>
        <w:rPr>
          <w:rFonts w:hint="eastAsia"/>
          <w:sz w:val="30"/>
          <w:szCs w:val="30"/>
        </w:rPr>
        <w:t>负责区委、区人大、区政府、区政协的重大接待管理工作；</w:t>
      </w:r>
    </w:p>
    <w:p w:rsidR="00863EA0" w:rsidRDefault="00863EA0" w:rsidP="00863EA0">
      <w:pPr>
        <w:pStyle w:val="a6"/>
        <w:numPr>
          <w:ilvl w:val="0"/>
          <w:numId w:val="2"/>
        </w:numPr>
        <w:ind w:firstLineChars="0"/>
        <w:rPr>
          <w:sz w:val="30"/>
          <w:szCs w:val="30"/>
        </w:rPr>
      </w:pPr>
      <w:r>
        <w:rPr>
          <w:rFonts w:hint="eastAsia"/>
          <w:sz w:val="30"/>
          <w:szCs w:val="30"/>
        </w:rPr>
        <w:t>负责</w:t>
      </w:r>
      <w:proofErr w:type="gramStart"/>
      <w:r>
        <w:rPr>
          <w:rFonts w:hint="eastAsia"/>
          <w:sz w:val="30"/>
          <w:szCs w:val="30"/>
        </w:rPr>
        <w:t>全区车</w:t>
      </w:r>
      <w:proofErr w:type="gramEnd"/>
      <w:r>
        <w:rPr>
          <w:rFonts w:hint="eastAsia"/>
          <w:sz w:val="30"/>
          <w:szCs w:val="30"/>
        </w:rPr>
        <w:t>改单位的日常用车的调度管理工作；</w:t>
      </w:r>
    </w:p>
    <w:p w:rsidR="00863EA0" w:rsidRDefault="00863EA0" w:rsidP="00863EA0">
      <w:pPr>
        <w:pStyle w:val="a6"/>
        <w:numPr>
          <w:ilvl w:val="0"/>
          <w:numId w:val="2"/>
        </w:numPr>
        <w:ind w:firstLineChars="0"/>
        <w:rPr>
          <w:sz w:val="30"/>
          <w:szCs w:val="30"/>
        </w:rPr>
      </w:pPr>
      <w:r>
        <w:rPr>
          <w:rFonts w:hint="eastAsia"/>
          <w:sz w:val="30"/>
          <w:szCs w:val="30"/>
        </w:rPr>
        <w:t>负责区机关大院内办公用房、附属用房的分配调整等工作；负责对明确由机关事务管理局的政府（本级）资产进行综合管理；</w:t>
      </w:r>
    </w:p>
    <w:p w:rsidR="00863EA0" w:rsidRDefault="00863EA0" w:rsidP="00863EA0">
      <w:pPr>
        <w:pStyle w:val="a6"/>
        <w:numPr>
          <w:ilvl w:val="0"/>
          <w:numId w:val="2"/>
        </w:numPr>
        <w:ind w:firstLineChars="0"/>
        <w:rPr>
          <w:sz w:val="30"/>
          <w:szCs w:val="30"/>
        </w:rPr>
      </w:pPr>
      <w:r>
        <w:rPr>
          <w:rFonts w:hint="eastAsia"/>
          <w:sz w:val="30"/>
          <w:szCs w:val="30"/>
        </w:rPr>
        <w:t>负责区机关大院办公设施、空调、通讯设备、水电设施等设备的配置、安装、维修以及区机关大院的绿化、亮化、卫生保洁、安全保卫、社会治安等管理工作；</w:t>
      </w:r>
    </w:p>
    <w:p w:rsidR="00863EA0" w:rsidRDefault="00863EA0" w:rsidP="00863EA0">
      <w:pPr>
        <w:pStyle w:val="a6"/>
        <w:numPr>
          <w:ilvl w:val="0"/>
          <w:numId w:val="2"/>
        </w:numPr>
        <w:ind w:firstLineChars="0"/>
        <w:rPr>
          <w:sz w:val="30"/>
          <w:szCs w:val="30"/>
        </w:rPr>
      </w:pPr>
      <w:r>
        <w:rPr>
          <w:rFonts w:hint="eastAsia"/>
          <w:sz w:val="30"/>
          <w:szCs w:val="30"/>
        </w:rPr>
        <w:t>负责全区公共机构节能资源工作，组织开展区直机关能耗统计、监测和评价考核工作；</w:t>
      </w:r>
    </w:p>
    <w:p w:rsidR="00863EA0" w:rsidRDefault="00863EA0" w:rsidP="00863EA0">
      <w:pPr>
        <w:pStyle w:val="a6"/>
        <w:numPr>
          <w:ilvl w:val="0"/>
          <w:numId w:val="2"/>
        </w:numPr>
        <w:ind w:firstLineChars="0"/>
        <w:rPr>
          <w:sz w:val="30"/>
          <w:szCs w:val="30"/>
        </w:rPr>
      </w:pPr>
      <w:r>
        <w:rPr>
          <w:rFonts w:hint="eastAsia"/>
          <w:sz w:val="30"/>
          <w:szCs w:val="30"/>
        </w:rPr>
        <w:lastRenderedPageBreak/>
        <w:t>负责区机关食堂的正常运行管理；</w:t>
      </w:r>
    </w:p>
    <w:p w:rsidR="00863EA0" w:rsidRDefault="00863EA0" w:rsidP="00863EA0">
      <w:pPr>
        <w:pStyle w:val="a6"/>
        <w:numPr>
          <w:ilvl w:val="0"/>
          <w:numId w:val="2"/>
        </w:numPr>
        <w:ind w:firstLineChars="0"/>
        <w:rPr>
          <w:sz w:val="30"/>
          <w:szCs w:val="30"/>
        </w:rPr>
      </w:pPr>
      <w:r>
        <w:rPr>
          <w:rFonts w:hint="eastAsia"/>
          <w:sz w:val="30"/>
          <w:szCs w:val="30"/>
        </w:rPr>
        <w:t>承办区委、区政府交办的其他工作。</w:t>
      </w:r>
    </w:p>
    <w:p w:rsidR="00863EA0" w:rsidRPr="00A04E53" w:rsidRDefault="00863EA0" w:rsidP="00863EA0">
      <w:pPr>
        <w:ind w:firstLineChars="200" w:firstLine="640"/>
        <w:rPr>
          <w:rFonts w:ascii="仿宋_GB2312" w:eastAsia="仿宋_GB2312" w:hAnsi="宋体" w:cs="仿宋_GB2312"/>
          <w:sz w:val="32"/>
          <w:szCs w:val="32"/>
        </w:rPr>
      </w:pPr>
    </w:p>
    <w:p w:rsidR="005B33F2" w:rsidRDefault="006434AB">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二、部门2020年主要工作任务</w:t>
      </w:r>
    </w:p>
    <w:p w:rsidR="00863EA0" w:rsidRDefault="00863EA0" w:rsidP="00863EA0">
      <w:pPr>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珠山区</w:t>
      </w:r>
      <w:proofErr w:type="gramEnd"/>
      <w:r>
        <w:rPr>
          <w:rFonts w:ascii="仿宋_GB2312" w:eastAsia="仿宋_GB2312" w:hAnsi="宋体" w:cs="仿宋_GB2312" w:hint="eastAsia"/>
          <w:sz w:val="32"/>
          <w:szCs w:val="32"/>
        </w:rPr>
        <w:t>机关事务管</w:t>
      </w:r>
      <w:r w:rsidR="00E65DF1">
        <w:rPr>
          <w:rFonts w:ascii="仿宋_GB2312" w:eastAsia="仿宋_GB2312" w:hAnsi="宋体" w:cs="仿宋_GB2312" w:hint="eastAsia"/>
          <w:sz w:val="32"/>
          <w:szCs w:val="32"/>
        </w:rPr>
        <w:t>理局2020年主要工作任务是：</w:t>
      </w:r>
    </w:p>
    <w:p w:rsidR="00863EA0" w:rsidRPr="00E65DF1" w:rsidRDefault="00E65DF1" w:rsidP="00E65DF1">
      <w:pPr>
        <w:ind w:left="90"/>
        <w:rPr>
          <w:sz w:val="30"/>
          <w:szCs w:val="30"/>
        </w:rPr>
      </w:pPr>
      <w:r>
        <w:rPr>
          <w:rFonts w:hint="eastAsia"/>
          <w:sz w:val="30"/>
          <w:szCs w:val="30"/>
        </w:rPr>
        <w:t>1</w:t>
      </w:r>
      <w:r>
        <w:rPr>
          <w:rFonts w:hint="eastAsia"/>
          <w:sz w:val="30"/>
          <w:szCs w:val="30"/>
        </w:rPr>
        <w:t>．</w:t>
      </w:r>
      <w:r w:rsidR="00863EA0" w:rsidRPr="00E65DF1">
        <w:rPr>
          <w:rFonts w:hint="eastAsia"/>
          <w:sz w:val="30"/>
          <w:szCs w:val="30"/>
        </w:rPr>
        <w:t>研究制定区级机关事务工作的具体规章制度和工作计划并组织实施，对机关行政后勤管理工作和机关后勤服务部门进行业务指导，会同有关部门协调解决机关后勤工作中的有关问题；</w:t>
      </w:r>
    </w:p>
    <w:p w:rsidR="00863EA0" w:rsidRPr="00E65DF1" w:rsidRDefault="00E65DF1" w:rsidP="00E65DF1">
      <w:pPr>
        <w:ind w:left="90"/>
        <w:rPr>
          <w:sz w:val="30"/>
          <w:szCs w:val="30"/>
        </w:rPr>
      </w:pPr>
      <w:r>
        <w:rPr>
          <w:rFonts w:hint="eastAsia"/>
          <w:sz w:val="30"/>
          <w:szCs w:val="30"/>
        </w:rPr>
        <w:t>2</w:t>
      </w:r>
      <w:r>
        <w:rPr>
          <w:rFonts w:hint="eastAsia"/>
          <w:sz w:val="30"/>
          <w:szCs w:val="30"/>
        </w:rPr>
        <w:t>．</w:t>
      </w:r>
      <w:r w:rsidR="00863EA0" w:rsidRPr="00E65DF1">
        <w:rPr>
          <w:rFonts w:hint="eastAsia"/>
          <w:sz w:val="30"/>
          <w:szCs w:val="30"/>
        </w:rPr>
        <w:t>负责区委、区人大、区政府、区政协的重要会议和全区性重大活动的后勤服务工作；</w:t>
      </w:r>
    </w:p>
    <w:p w:rsidR="00863EA0" w:rsidRPr="00A95905" w:rsidRDefault="00863EA0" w:rsidP="00A95905">
      <w:pPr>
        <w:pStyle w:val="a6"/>
        <w:numPr>
          <w:ilvl w:val="0"/>
          <w:numId w:val="6"/>
        </w:numPr>
        <w:ind w:firstLineChars="0"/>
        <w:rPr>
          <w:sz w:val="30"/>
          <w:szCs w:val="30"/>
        </w:rPr>
      </w:pPr>
      <w:r w:rsidRPr="00A95905">
        <w:rPr>
          <w:rFonts w:hint="eastAsia"/>
          <w:sz w:val="30"/>
          <w:szCs w:val="30"/>
        </w:rPr>
        <w:t>负责区委、区人大、区政府、区政协的重大接待管理工作；</w:t>
      </w:r>
    </w:p>
    <w:p w:rsidR="00863EA0" w:rsidRPr="00A95905" w:rsidRDefault="00A95905" w:rsidP="00A95905">
      <w:pPr>
        <w:ind w:firstLineChars="100" w:firstLine="300"/>
        <w:rPr>
          <w:sz w:val="30"/>
          <w:szCs w:val="30"/>
        </w:rPr>
      </w:pPr>
      <w:r>
        <w:rPr>
          <w:rFonts w:hint="eastAsia"/>
          <w:sz w:val="30"/>
          <w:szCs w:val="30"/>
        </w:rPr>
        <w:t>4</w:t>
      </w:r>
      <w:r>
        <w:rPr>
          <w:rFonts w:hint="eastAsia"/>
          <w:sz w:val="30"/>
          <w:szCs w:val="30"/>
        </w:rPr>
        <w:t>．</w:t>
      </w:r>
      <w:r w:rsidR="00863EA0" w:rsidRPr="00A95905">
        <w:rPr>
          <w:rFonts w:hint="eastAsia"/>
          <w:sz w:val="30"/>
          <w:szCs w:val="30"/>
        </w:rPr>
        <w:t>负责</w:t>
      </w:r>
      <w:proofErr w:type="gramStart"/>
      <w:r w:rsidR="00863EA0" w:rsidRPr="00A95905">
        <w:rPr>
          <w:rFonts w:hint="eastAsia"/>
          <w:sz w:val="30"/>
          <w:szCs w:val="30"/>
        </w:rPr>
        <w:t>全区车</w:t>
      </w:r>
      <w:proofErr w:type="gramEnd"/>
      <w:r w:rsidR="00863EA0" w:rsidRPr="00A95905">
        <w:rPr>
          <w:rFonts w:hint="eastAsia"/>
          <w:sz w:val="30"/>
          <w:szCs w:val="30"/>
        </w:rPr>
        <w:t>改单位的日常用车的调度管理工作；</w:t>
      </w:r>
    </w:p>
    <w:p w:rsidR="00863EA0" w:rsidRPr="00E65DF1" w:rsidRDefault="00A95905" w:rsidP="00A95905">
      <w:pPr>
        <w:pStyle w:val="a6"/>
        <w:ind w:leftChars="50" w:left="255" w:hangingChars="50" w:hanging="150"/>
        <w:rPr>
          <w:sz w:val="30"/>
          <w:szCs w:val="30"/>
        </w:rPr>
      </w:pPr>
      <w:r>
        <w:rPr>
          <w:rFonts w:hint="eastAsia"/>
          <w:sz w:val="30"/>
          <w:szCs w:val="30"/>
        </w:rPr>
        <w:t>5</w:t>
      </w:r>
      <w:r>
        <w:rPr>
          <w:rFonts w:hint="eastAsia"/>
          <w:sz w:val="30"/>
          <w:szCs w:val="30"/>
        </w:rPr>
        <w:t>．</w:t>
      </w:r>
      <w:r w:rsidR="00863EA0" w:rsidRPr="00E65DF1">
        <w:rPr>
          <w:rFonts w:hint="eastAsia"/>
          <w:sz w:val="30"/>
          <w:szCs w:val="30"/>
        </w:rPr>
        <w:t>负责区机关大院内办公用房、附属用房的分配调整等工作；</w:t>
      </w:r>
      <w:r>
        <w:rPr>
          <w:rFonts w:hint="eastAsia"/>
          <w:sz w:val="30"/>
          <w:szCs w:val="30"/>
        </w:rPr>
        <w:t>6.</w:t>
      </w:r>
      <w:r w:rsidR="00863EA0" w:rsidRPr="00E65DF1">
        <w:rPr>
          <w:rFonts w:hint="eastAsia"/>
          <w:sz w:val="30"/>
          <w:szCs w:val="30"/>
        </w:rPr>
        <w:t>负责对明确由机关事务管理局的政府（本级）资产进行综合管理；</w:t>
      </w:r>
    </w:p>
    <w:p w:rsidR="00863EA0" w:rsidRPr="00A95905" w:rsidRDefault="00A95905" w:rsidP="00A95905">
      <w:pPr>
        <w:ind w:firstLineChars="50" w:firstLine="150"/>
        <w:rPr>
          <w:sz w:val="30"/>
          <w:szCs w:val="30"/>
        </w:rPr>
      </w:pPr>
      <w:r>
        <w:rPr>
          <w:rFonts w:hint="eastAsia"/>
          <w:sz w:val="30"/>
          <w:szCs w:val="30"/>
        </w:rPr>
        <w:t>7.</w:t>
      </w:r>
      <w:r w:rsidR="00863EA0" w:rsidRPr="00A95905">
        <w:rPr>
          <w:rFonts w:hint="eastAsia"/>
          <w:sz w:val="30"/>
          <w:szCs w:val="30"/>
        </w:rPr>
        <w:t>负责区机关大院办公设施、空调、通讯设备、水电设施等设备的配置、安装、维修以及区机关大院的绿化、亮化、卫生保洁、安全保卫、社会治安等管理工作；</w:t>
      </w:r>
    </w:p>
    <w:p w:rsidR="00863EA0" w:rsidRPr="00A95905" w:rsidRDefault="00A95905" w:rsidP="00A95905">
      <w:pPr>
        <w:ind w:firstLineChars="100" w:firstLine="300"/>
        <w:rPr>
          <w:sz w:val="30"/>
          <w:szCs w:val="30"/>
        </w:rPr>
      </w:pPr>
      <w:r>
        <w:rPr>
          <w:rFonts w:hint="eastAsia"/>
          <w:sz w:val="30"/>
          <w:szCs w:val="30"/>
        </w:rPr>
        <w:t>8.</w:t>
      </w:r>
      <w:r w:rsidR="00863EA0" w:rsidRPr="00A95905">
        <w:rPr>
          <w:rFonts w:hint="eastAsia"/>
          <w:sz w:val="30"/>
          <w:szCs w:val="30"/>
        </w:rPr>
        <w:t>负责全区公共机构节能资源工作，组织开展区直机关能耗统计、监测和评价考核工作；</w:t>
      </w:r>
    </w:p>
    <w:p w:rsidR="00863EA0" w:rsidRPr="00A95905" w:rsidRDefault="00A95905" w:rsidP="00A95905">
      <w:pPr>
        <w:rPr>
          <w:sz w:val="30"/>
          <w:szCs w:val="30"/>
        </w:rPr>
      </w:pPr>
      <w:r>
        <w:rPr>
          <w:rFonts w:hint="eastAsia"/>
          <w:sz w:val="30"/>
          <w:szCs w:val="30"/>
        </w:rPr>
        <w:t>9.</w:t>
      </w:r>
      <w:r w:rsidR="00863EA0" w:rsidRPr="00A95905">
        <w:rPr>
          <w:rFonts w:hint="eastAsia"/>
          <w:sz w:val="30"/>
          <w:szCs w:val="30"/>
        </w:rPr>
        <w:t>负责区机关食堂的正常运行管理；</w:t>
      </w:r>
    </w:p>
    <w:p w:rsidR="005B33F2" w:rsidRPr="00A95905" w:rsidRDefault="00A95905" w:rsidP="00A95905">
      <w:pPr>
        <w:ind w:firstLineChars="50" w:firstLine="150"/>
        <w:rPr>
          <w:sz w:val="30"/>
          <w:szCs w:val="30"/>
        </w:rPr>
      </w:pPr>
      <w:r>
        <w:rPr>
          <w:rFonts w:hint="eastAsia"/>
          <w:sz w:val="30"/>
          <w:szCs w:val="30"/>
        </w:rPr>
        <w:t>10.</w:t>
      </w:r>
      <w:r w:rsidR="00863EA0" w:rsidRPr="00A95905">
        <w:rPr>
          <w:rFonts w:hint="eastAsia"/>
          <w:sz w:val="30"/>
          <w:szCs w:val="30"/>
        </w:rPr>
        <w:t>承办区委、区政府交办的其他工作。</w:t>
      </w:r>
    </w:p>
    <w:p w:rsidR="005B33F2" w:rsidRPr="00A95905" w:rsidRDefault="006434AB" w:rsidP="00A95905">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lastRenderedPageBreak/>
        <w:t>三、部门基本情况</w:t>
      </w:r>
    </w:p>
    <w:p w:rsidR="005B33F2" w:rsidRDefault="00A95905">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机关事务管理局</w:t>
      </w:r>
      <w:r w:rsidR="006434AB">
        <w:rPr>
          <w:rFonts w:ascii="仿宋_GB2312" w:eastAsia="仿宋_GB2312" w:hAnsi="仿宋_GB2312" w:cs="仿宋_GB2312" w:hint="eastAsia"/>
          <w:sz w:val="28"/>
          <w:szCs w:val="28"/>
        </w:rPr>
        <w:t>共有预算单位</w:t>
      </w:r>
      <w:r>
        <w:rPr>
          <w:rFonts w:ascii="仿宋_GB2312" w:eastAsia="仿宋_GB2312" w:hAnsi="仿宋_GB2312" w:cs="仿宋_GB2312" w:hint="eastAsia"/>
          <w:sz w:val="28"/>
          <w:szCs w:val="28"/>
        </w:rPr>
        <w:t>1个</w:t>
      </w:r>
      <w:r w:rsidR="006434AB">
        <w:rPr>
          <w:rFonts w:ascii="仿宋_GB2312" w:eastAsia="仿宋_GB2312" w:hAnsi="仿宋_GB2312" w:cs="仿宋_GB2312" w:hint="eastAsia"/>
          <w:sz w:val="28"/>
          <w:szCs w:val="28"/>
        </w:rPr>
        <w:t>。编制数为</w:t>
      </w:r>
      <w:r w:rsidR="00A42F97">
        <w:rPr>
          <w:rFonts w:ascii="仿宋_GB2312" w:eastAsia="仿宋_GB2312" w:hAnsi="仿宋_GB2312" w:cs="仿宋_GB2312" w:hint="eastAsia"/>
          <w:sz w:val="28"/>
          <w:szCs w:val="28"/>
        </w:rPr>
        <w:t>10</w:t>
      </w:r>
      <w:r w:rsidR="006434AB">
        <w:rPr>
          <w:rFonts w:ascii="仿宋_GB2312" w:eastAsia="仿宋_GB2312" w:hAnsi="仿宋_GB2312" w:cs="仿宋_GB2312" w:hint="eastAsia"/>
          <w:sz w:val="28"/>
          <w:szCs w:val="28"/>
        </w:rPr>
        <w:t>人，其中行政编制</w:t>
      </w:r>
      <w:r w:rsidR="00A42F97">
        <w:rPr>
          <w:rFonts w:ascii="仿宋_GB2312" w:eastAsia="仿宋_GB2312" w:hAnsi="仿宋_GB2312" w:cs="仿宋_GB2312" w:hint="eastAsia"/>
          <w:sz w:val="28"/>
          <w:szCs w:val="28"/>
        </w:rPr>
        <w:t>1</w:t>
      </w:r>
      <w:r w:rsidR="006434AB">
        <w:rPr>
          <w:rFonts w:ascii="仿宋_GB2312" w:eastAsia="仿宋_GB2312" w:hAnsi="仿宋_GB2312" w:cs="仿宋_GB2312" w:hint="eastAsia"/>
          <w:sz w:val="28"/>
          <w:szCs w:val="28"/>
        </w:rPr>
        <w:t>人、全额补助事业编制</w:t>
      </w:r>
      <w:r w:rsidR="00A42F97">
        <w:rPr>
          <w:rFonts w:ascii="仿宋_GB2312" w:eastAsia="仿宋_GB2312" w:hAnsi="仿宋_GB2312" w:cs="仿宋_GB2312" w:hint="eastAsia"/>
          <w:sz w:val="28"/>
          <w:szCs w:val="28"/>
        </w:rPr>
        <w:t>9人。</w:t>
      </w:r>
    </w:p>
    <w:p w:rsidR="005B33F2" w:rsidRDefault="006434AB">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四、</w:t>
      </w:r>
      <w:r w:rsidR="00B054BD">
        <w:rPr>
          <w:rFonts w:ascii="黑体" w:eastAsia="黑体" w:hAnsi="黑体" w:cs="黑体" w:hint="eastAsia"/>
          <w:b/>
          <w:sz w:val="28"/>
          <w:szCs w:val="28"/>
        </w:rPr>
        <w:t>2020</w:t>
      </w:r>
      <w:r>
        <w:rPr>
          <w:rFonts w:ascii="黑体" w:eastAsia="黑体" w:hAnsi="黑体" w:cs="黑体" w:hint="eastAsia"/>
          <w:b/>
          <w:sz w:val="28"/>
          <w:szCs w:val="28"/>
        </w:rPr>
        <w:t>年部门预算收支情况说明</w:t>
      </w:r>
    </w:p>
    <w:p w:rsidR="005B33F2" w:rsidRPr="00B054BD" w:rsidRDefault="006434AB" w:rsidP="002924CE">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（一）收入预算情况</w:t>
      </w:r>
    </w:p>
    <w:p w:rsidR="005B33F2" w:rsidRPr="00C120DB" w:rsidRDefault="006434AB">
      <w:pPr>
        <w:spacing w:line="570" w:lineRule="exact"/>
        <w:ind w:firstLine="600"/>
        <w:rPr>
          <w:rFonts w:ascii="仿宋_GB2312" w:eastAsia="仿宋_GB2312" w:hAnsi="仿宋_GB2312" w:cs="仿宋_GB2312"/>
          <w:sz w:val="28"/>
          <w:szCs w:val="28"/>
        </w:rPr>
      </w:pPr>
      <w:r>
        <w:rPr>
          <w:rFonts w:ascii="仿宋_GB2312" w:eastAsia="仿宋_GB2312" w:hAnsi="仿宋_GB2312" w:cs="仿宋_GB2312" w:hint="eastAsia"/>
          <w:sz w:val="28"/>
          <w:szCs w:val="28"/>
        </w:rPr>
        <w:t>2020年</w:t>
      </w:r>
      <w:r w:rsidR="00B054BD">
        <w:rPr>
          <w:rFonts w:ascii="仿宋_GB2312" w:eastAsia="仿宋_GB2312" w:hAnsi="仿宋_GB2312" w:cs="仿宋_GB2312" w:hint="eastAsia"/>
          <w:sz w:val="28"/>
          <w:szCs w:val="28"/>
        </w:rPr>
        <w:t>机关事务管理</w:t>
      </w:r>
      <w:r>
        <w:rPr>
          <w:rFonts w:ascii="仿宋_GB2312" w:eastAsia="仿宋_GB2312" w:hAnsi="仿宋_GB2312" w:cs="仿宋_GB2312" w:hint="eastAsia"/>
          <w:sz w:val="28"/>
          <w:szCs w:val="28"/>
        </w:rPr>
        <w:t>局（委、办）收入预算总额为</w:t>
      </w:r>
      <w:r w:rsidR="008D4849">
        <w:rPr>
          <w:rFonts w:ascii="仿宋_GB2312" w:eastAsia="仿宋_GB2312" w:hAnsi="仿宋_GB2312" w:cs="仿宋_GB2312" w:hint="eastAsia"/>
          <w:sz w:val="28"/>
          <w:szCs w:val="28"/>
        </w:rPr>
        <w:t>519.92</w:t>
      </w:r>
      <w:r>
        <w:rPr>
          <w:rFonts w:ascii="仿宋_GB2312" w:eastAsia="仿宋_GB2312" w:hAnsi="仿宋_GB2312" w:cs="仿宋_GB2312" w:hint="eastAsia"/>
          <w:sz w:val="28"/>
          <w:szCs w:val="28"/>
        </w:rPr>
        <w:t>万元，</w:t>
      </w:r>
      <w:r w:rsidR="008D4849">
        <w:rPr>
          <w:rFonts w:ascii="仿宋_GB2312" w:eastAsia="仿宋_GB2312" w:hAnsi="仿宋_GB2312" w:cs="仿宋_GB2312" w:hint="eastAsia"/>
          <w:sz w:val="28"/>
          <w:szCs w:val="28"/>
        </w:rPr>
        <w:t>与上年预算相比增8.91</w:t>
      </w:r>
      <w:r>
        <w:rPr>
          <w:rFonts w:ascii="仿宋_GB2312" w:eastAsia="仿宋_GB2312" w:hAnsi="仿宋_GB2312" w:cs="仿宋_GB2312" w:hint="eastAsia"/>
          <w:sz w:val="28"/>
          <w:szCs w:val="28"/>
        </w:rPr>
        <w:t xml:space="preserve"> %</w:t>
      </w:r>
      <w:r w:rsidR="00C120DB">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其中：当年财政拨款收入</w:t>
      </w:r>
      <w:r w:rsidR="008D4849">
        <w:rPr>
          <w:rFonts w:ascii="仿宋_GB2312" w:eastAsia="仿宋_GB2312" w:hAnsi="仿宋_GB2312" w:cs="仿宋_GB2312" w:hint="eastAsia"/>
          <w:sz w:val="28"/>
          <w:szCs w:val="28"/>
        </w:rPr>
        <w:t>519.92</w:t>
      </w:r>
      <w:r>
        <w:rPr>
          <w:rFonts w:ascii="仿宋_GB2312" w:eastAsia="仿宋_GB2312" w:hAnsi="仿宋_GB2312" w:cs="仿宋_GB2312" w:hint="eastAsia"/>
          <w:sz w:val="28"/>
          <w:szCs w:val="28"/>
        </w:rPr>
        <w:t>万元，占收入预算总额的</w:t>
      </w:r>
      <w:r w:rsidR="008D4849">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w:t>
      </w:r>
      <w:r w:rsidR="00C120DB">
        <w:rPr>
          <w:rFonts w:ascii="仿宋_GB2312" w:eastAsia="仿宋_GB2312" w:hAnsi="仿宋_GB2312" w:cs="仿宋_GB2312" w:hint="eastAsia"/>
          <w:sz w:val="28"/>
          <w:szCs w:val="28"/>
        </w:rPr>
        <w:t>.</w:t>
      </w:r>
    </w:p>
    <w:p w:rsidR="005B33F2" w:rsidRPr="00C120DB" w:rsidRDefault="006434AB" w:rsidP="002924CE">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（二）支出预算情况</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w:t>
      </w:r>
      <w:r w:rsidR="00C120DB">
        <w:rPr>
          <w:rFonts w:ascii="仿宋_GB2312" w:eastAsia="仿宋_GB2312" w:hAnsi="仿宋_GB2312" w:cs="仿宋_GB2312" w:hint="eastAsia"/>
          <w:sz w:val="28"/>
          <w:szCs w:val="28"/>
        </w:rPr>
        <w:t>机关事务管理</w:t>
      </w:r>
      <w:r>
        <w:rPr>
          <w:rFonts w:ascii="仿宋_GB2312" w:eastAsia="仿宋_GB2312" w:hAnsi="仿宋_GB2312" w:cs="仿宋_GB2312" w:hint="eastAsia"/>
          <w:sz w:val="28"/>
          <w:szCs w:val="28"/>
        </w:rPr>
        <w:t>局（委、办）支出预算总额为</w:t>
      </w:r>
      <w:r w:rsidR="00C120DB">
        <w:rPr>
          <w:rFonts w:ascii="仿宋_GB2312" w:eastAsia="仿宋_GB2312" w:hAnsi="仿宋_GB2312" w:cs="仿宋_GB2312" w:hint="eastAsia"/>
          <w:sz w:val="28"/>
          <w:szCs w:val="28"/>
        </w:rPr>
        <w:t>519.92万元，与上年预算相比增8.91</w:t>
      </w:r>
      <w:r>
        <w:rPr>
          <w:rFonts w:ascii="仿宋_GB2312" w:eastAsia="仿宋_GB2312" w:hAnsi="仿宋_GB2312" w:cs="仿宋_GB2312" w:hint="eastAsia"/>
          <w:sz w:val="28"/>
          <w:szCs w:val="28"/>
        </w:rPr>
        <w:t>%</w:t>
      </w:r>
      <w:r w:rsidR="00C120DB">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其中：按支出项目类别划分：基本支出</w:t>
      </w:r>
      <w:r w:rsidR="00C65779">
        <w:rPr>
          <w:rFonts w:ascii="仿宋_GB2312" w:eastAsia="仿宋_GB2312" w:hAnsi="仿宋_GB2312" w:cs="仿宋_GB2312" w:hint="eastAsia"/>
          <w:sz w:val="28"/>
          <w:szCs w:val="28"/>
        </w:rPr>
        <w:t>93.22</w:t>
      </w:r>
      <w:r>
        <w:rPr>
          <w:rFonts w:ascii="仿宋_GB2312" w:eastAsia="仿宋_GB2312" w:hAnsi="仿宋_GB2312" w:cs="仿宋_GB2312" w:hint="eastAsia"/>
          <w:sz w:val="28"/>
          <w:szCs w:val="28"/>
        </w:rPr>
        <w:t>万元，占支出预算总额的</w:t>
      </w:r>
      <w:r w:rsidR="00C65779">
        <w:rPr>
          <w:rFonts w:ascii="仿宋_GB2312" w:eastAsia="仿宋_GB2312" w:hAnsi="仿宋_GB2312" w:cs="仿宋_GB2312" w:hint="eastAsia"/>
          <w:sz w:val="28"/>
          <w:szCs w:val="28"/>
        </w:rPr>
        <w:t>17.93</w:t>
      </w:r>
      <w:r>
        <w:rPr>
          <w:rFonts w:ascii="仿宋_GB2312" w:eastAsia="仿宋_GB2312" w:hAnsi="仿宋_GB2312" w:cs="仿宋_GB2312" w:hint="eastAsia"/>
          <w:sz w:val="28"/>
          <w:szCs w:val="28"/>
        </w:rPr>
        <w:t>%，包括工资福利支出</w:t>
      </w:r>
      <w:r w:rsidR="00C65779">
        <w:rPr>
          <w:rFonts w:ascii="仿宋_GB2312" w:eastAsia="仿宋_GB2312" w:hAnsi="仿宋_GB2312" w:cs="仿宋_GB2312" w:hint="eastAsia"/>
          <w:sz w:val="28"/>
          <w:szCs w:val="28"/>
        </w:rPr>
        <w:t>88.04</w:t>
      </w:r>
      <w:r>
        <w:rPr>
          <w:rFonts w:ascii="仿宋_GB2312" w:eastAsia="仿宋_GB2312" w:hAnsi="仿宋_GB2312" w:cs="仿宋_GB2312" w:hint="eastAsia"/>
          <w:sz w:val="28"/>
          <w:szCs w:val="28"/>
        </w:rPr>
        <w:t>万元、商品和服务支出</w:t>
      </w:r>
      <w:r w:rsidR="00C65779">
        <w:rPr>
          <w:rFonts w:ascii="仿宋_GB2312" w:eastAsia="仿宋_GB2312" w:hAnsi="仿宋_GB2312" w:cs="仿宋_GB2312" w:hint="eastAsia"/>
          <w:sz w:val="28"/>
          <w:szCs w:val="28"/>
        </w:rPr>
        <w:t>5.18</w:t>
      </w:r>
      <w:r>
        <w:rPr>
          <w:rFonts w:ascii="仿宋_GB2312" w:eastAsia="仿宋_GB2312" w:hAnsi="仿宋_GB2312" w:cs="仿宋_GB2312" w:hint="eastAsia"/>
          <w:sz w:val="28"/>
          <w:szCs w:val="28"/>
        </w:rPr>
        <w:t>万元、对个人和家庭的补助</w:t>
      </w:r>
      <w:r w:rsidR="00C65779">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万元、其他资本性支出</w:t>
      </w:r>
      <w:r w:rsidR="00C65779">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万元；项目支出</w:t>
      </w:r>
      <w:r w:rsidR="00C65779">
        <w:rPr>
          <w:rFonts w:ascii="仿宋_GB2312" w:eastAsia="仿宋_GB2312" w:hAnsi="仿宋_GB2312" w:cs="仿宋_GB2312" w:hint="eastAsia"/>
          <w:sz w:val="28"/>
          <w:szCs w:val="28"/>
        </w:rPr>
        <w:t>（专项经费支出）426.7</w:t>
      </w:r>
      <w:r>
        <w:rPr>
          <w:rFonts w:ascii="仿宋_GB2312" w:eastAsia="仿宋_GB2312" w:hAnsi="仿宋_GB2312" w:cs="仿宋_GB2312" w:hint="eastAsia"/>
          <w:sz w:val="28"/>
          <w:szCs w:val="28"/>
        </w:rPr>
        <w:t>万元，占支出总额的</w:t>
      </w:r>
      <w:r w:rsidR="00C65779">
        <w:rPr>
          <w:rFonts w:ascii="仿宋_GB2312" w:eastAsia="仿宋_GB2312" w:hAnsi="仿宋_GB2312" w:cs="仿宋_GB2312" w:hint="eastAsia"/>
          <w:sz w:val="28"/>
          <w:szCs w:val="28"/>
        </w:rPr>
        <w:t>82.07</w:t>
      </w:r>
      <w:r>
        <w:rPr>
          <w:rFonts w:ascii="仿宋_GB2312" w:eastAsia="仿宋_GB2312" w:hAnsi="仿宋_GB2312" w:cs="仿宋_GB2312" w:hint="eastAsia"/>
          <w:sz w:val="28"/>
          <w:szCs w:val="28"/>
        </w:rPr>
        <w:t>%，包括工资福利支出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万元、商品和服务支出</w:t>
      </w:r>
      <w:r w:rsidR="00674C72">
        <w:rPr>
          <w:rFonts w:ascii="仿宋_GB2312" w:eastAsia="仿宋_GB2312" w:hAnsi="仿宋_GB2312" w:cs="仿宋_GB2312" w:hint="eastAsia"/>
          <w:sz w:val="28"/>
          <w:szCs w:val="28"/>
        </w:rPr>
        <w:t>426.7</w:t>
      </w:r>
      <w:r>
        <w:rPr>
          <w:rFonts w:ascii="仿宋_GB2312" w:eastAsia="仿宋_GB2312" w:hAnsi="仿宋_GB2312" w:cs="仿宋_GB2312" w:hint="eastAsia"/>
          <w:sz w:val="28"/>
          <w:szCs w:val="28"/>
        </w:rPr>
        <w:t>万元、对个人和家庭的补助</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万元、债务利息支出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万元、基本建设支出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万元、其他资本性支出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万元、其他相关支出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万元；事业经营支出</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万元，占支出预算总额的</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%；对附属单位补助支出的</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万元，占支出预算总额的</w:t>
      </w:r>
      <w:r w:rsidR="00674C72">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w:t>
      </w:r>
      <w:r w:rsidR="00674C72">
        <w:rPr>
          <w:rFonts w:ascii="仿宋_GB2312" w:eastAsia="仿宋_GB2312" w:hAnsi="仿宋_GB2312" w:cs="仿宋_GB2312" w:hint="eastAsia"/>
          <w:sz w:val="28"/>
          <w:szCs w:val="28"/>
        </w:rPr>
        <w:t>。</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按支出功能项目科目划分：一般公共服务</w:t>
      </w:r>
      <w:r w:rsidR="00674C72">
        <w:rPr>
          <w:rFonts w:ascii="仿宋_GB2312" w:eastAsia="仿宋_GB2312" w:hAnsi="仿宋_GB2312" w:cs="仿宋_GB2312" w:hint="eastAsia"/>
          <w:sz w:val="28"/>
          <w:szCs w:val="28"/>
        </w:rPr>
        <w:t>519.92</w:t>
      </w:r>
      <w:r>
        <w:rPr>
          <w:rFonts w:ascii="仿宋_GB2312" w:eastAsia="仿宋_GB2312" w:hAnsi="仿宋_GB2312" w:cs="仿宋_GB2312" w:hint="eastAsia"/>
          <w:sz w:val="28"/>
          <w:szCs w:val="28"/>
        </w:rPr>
        <w:t>万元，占支出预算总额的</w:t>
      </w:r>
      <w:r w:rsidR="00674C72">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w:t>
      </w:r>
      <w:r w:rsidR="00674C72">
        <w:rPr>
          <w:rFonts w:ascii="仿宋_GB2312" w:eastAsia="仿宋_GB2312" w:hAnsi="仿宋_GB2312" w:cs="仿宋_GB2312" w:hint="eastAsia"/>
          <w:sz w:val="28"/>
          <w:szCs w:val="28"/>
        </w:rPr>
        <w:t>。</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按支出经济分类划分：工资福利支出</w:t>
      </w:r>
      <w:r w:rsidR="00555575">
        <w:rPr>
          <w:rFonts w:ascii="仿宋_GB2312" w:eastAsia="仿宋_GB2312" w:hAnsi="仿宋_GB2312" w:cs="仿宋_GB2312" w:hint="eastAsia"/>
          <w:sz w:val="28"/>
          <w:szCs w:val="28"/>
        </w:rPr>
        <w:t>88.04</w:t>
      </w:r>
      <w:r>
        <w:rPr>
          <w:rFonts w:ascii="仿宋_GB2312" w:eastAsia="仿宋_GB2312" w:hAnsi="仿宋_GB2312" w:cs="仿宋_GB2312" w:hint="eastAsia"/>
          <w:sz w:val="28"/>
          <w:szCs w:val="28"/>
        </w:rPr>
        <w:t>万元，占支出预算总额的</w:t>
      </w:r>
      <w:r w:rsidR="00555575">
        <w:rPr>
          <w:rFonts w:ascii="仿宋_GB2312" w:eastAsia="仿宋_GB2312" w:hAnsi="仿宋_GB2312" w:cs="仿宋_GB2312" w:hint="eastAsia"/>
          <w:sz w:val="28"/>
          <w:szCs w:val="28"/>
        </w:rPr>
        <w:t>16.93</w:t>
      </w:r>
      <w:r>
        <w:rPr>
          <w:rFonts w:ascii="仿宋_GB2312" w:eastAsia="仿宋_GB2312" w:hAnsi="仿宋_GB2312" w:cs="仿宋_GB2312" w:hint="eastAsia"/>
          <w:sz w:val="28"/>
          <w:szCs w:val="28"/>
        </w:rPr>
        <w:t>%；商品和服务支出</w:t>
      </w:r>
      <w:r w:rsidR="00555575">
        <w:rPr>
          <w:rFonts w:ascii="仿宋_GB2312" w:eastAsia="仿宋_GB2312" w:hAnsi="仿宋_GB2312" w:cs="仿宋_GB2312" w:hint="eastAsia"/>
          <w:sz w:val="28"/>
          <w:szCs w:val="28"/>
        </w:rPr>
        <w:t>5.18</w:t>
      </w:r>
      <w:r>
        <w:rPr>
          <w:rFonts w:ascii="仿宋_GB2312" w:eastAsia="仿宋_GB2312" w:hAnsi="仿宋_GB2312" w:cs="仿宋_GB2312" w:hint="eastAsia"/>
          <w:sz w:val="28"/>
          <w:szCs w:val="28"/>
        </w:rPr>
        <w:t>万元，占支出预算总额的</w:t>
      </w:r>
      <w:r w:rsidR="00555575">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r w:rsidR="00555575">
        <w:rPr>
          <w:rFonts w:ascii="仿宋_GB2312" w:eastAsia="仿宋_GB2312" w:hAnsi="仿宋_GB2312" w:cs="仿宋_GB2312" w:hint="eastAsia"/>
          <w:sz w:val="28"/>
          <w:szCs w:val="28"/>
        </w:rPr>
        <w:t>项目支出（专项经费支出）商品和服务支出426.7万元，占支出预算总</w:t>
      </w:r>
      <w:r w:rsidR="00555575">
        <w:rPr>
          <w:rFonts w:ascii="仿宋_GB2312" w:eastAsia="仿宋_GB2312" w:hAnsi="仿宋_GB2312" w:cs="仿宋_GB2312" w:hint="eastAsia"/>
          <w:sz w:val="28"/>
          <w:szCs w:val="28"/>
        </w:rPr>
        <w:lastRenderedPageBreak/>
        <w:t>额的82.07%</w:t>
      </w:r>
    </w:p>
    <w:p w:rsidR="005B33F2" w:rsidRPr="00BC7381" w:rsidRDefault="006434AB" w:rsidP="002924CE">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（三）经费拨款支出情况</w:t>
      </w:r>
    </w:p>
    <w:p w:rsidR="005B33F2" w:rsidRDefault="006434AB" w:rsidP="00BC7381">
      <w:pPr>
        <w:spacing w:line="57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2020年</w:t>
      </w:r>
      <w:r w:rsidR="00793C24">
        <w:rPr>
          <w:rFonts w:ascii="仿宋_GB2312" w:eastAsia="仿宋_GB2312" w:hAnsi="仿宋_GB2312" w:cs="仿宋_GB2312" w:hint="eastAsia"/>
          <w:sz w:val="28"/>
          <w:szCs w:val="28"/>
        </w:rPr>
        <w:t>机关事务管理</w:t>
      </w:r>
      <w:r>
        <w:rPr>
          <w:rFonts w:ascii="仿宋_GB2312" w:eastAsia="仿宋_GB2312" w:hAnsi="仿宋_GB2312" w:cs="仿宋_GB2312" w:hint="eastAsia"/>
          <w:sz w:val="28"/>
          <w:szCs w:val="28"/>
        </w:rPr>
        <w:t>局（委、办）经费拨款支出预算</w:t>
      </w:r>
      <w:r w:rsidR="00B63215">
        <w:rPr>
          <w:rFonts w:ascii="仿宋_GB2312" w:eastAsia="仿宋_GB2312" w:hAnsi="仿宋_GB2312" w:cs="仿宋_GB2312" w:hint="eastAsia"/>
          <w:sz w:val="28"/>
          <w:szCs w:val="28"/>
        </w:rPr>
        <w:t>269.3万元,与19年基本持平。</w:t>
      </w:r>
    </w:p>
    <w:p w:rsidR="005B33F2" w:rsidRDefault="006434AB" w:rsidP="002924CE">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（四）政府采购预算情况</w:t>
      </w:r>
    </w:p>
    <w:p w:rsidR="005B33F2" w:rsidRDefault="006434AB">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说明部门整个采购情况和部门集中采购、政府集中采购和政府购买服务预算情况，与上年预算对比，变化较大的说明原因。</w:t>
      </w:r>
    </w:p>
    <w:p w:rsidR="005B33F2" w:rsidRDefault="006434AB" w:rsidP="002924CE">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（五）政府基金收支情况</w:t>
      </w:r>
    </w:p>
    <w:p w:rsidR="005B33F2" w:rsidRDefault="00793C24" w:rsidP="005D4B19">
      <w:pPr>
        <w:spacing w:line="570" w:lineRule="exact"/>
        <w:ind w:leftChars="200" w:left="420"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机关事务管理局</w:t>
      </w:r>
      <w:r w:rsidR="006434AB">
        <w:rPr>
          <w:rFonts w:ascii="仿宋_GB2312" w:eastAsia="仿宋_GB2312" w:hAnsi="仿宋_GB2312" w:cs="仿宋_GB2312" w:hint="eastAsia"/>
          <w:bCs/>
          <w:sz w:val="28"/>
          <w:szCs w:val="28"/>
        </w:rPr>
        <w:t>“无政府基金收支预算”。</w:t>
      </w:r>
    </w:p>
    <w:p w:rsidR="005B33F2" w:rsidRDefault="006434AB" w:rsidP="002924CE">
      <w:pPr>
        <w:numPr>
          <w:ilvl w:val="0"/>
          <w:numId w:val="1"/>
        </w:num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机关运行经费安排情况</w:t>
      </w:r>
    </w:p>
    <w:p w:rsidR="005B33F2" w:rsidRDefault="00793C24">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机关事务管理局机关运行经费预算安排情况，并与上年预算数对比，基本持平，无</w:t>
      </w:r>
      <w:r w:rsidR="006434AB">
        <w:rPr>
          <w:rFonts w:ascii="仿宋_GB2312" w:eastAsia="仿宋_GB2312" w:hAnsi="仿宋_GB2312" w:cs="仿宋_GB2312" w:hint="eastAsia"/>
          <w:bCs/>
          <w:sz w:val="28"/>
          <w:szCs w:val="28"/>
        </w:rPr>
        <w:t>较大的</w:t>
      </w:r>
      <w:r>
        <w:rPr>
          <w:rFonts w:ascii="仿宋_GB2312" w:eastAsia="仿宋_GB2312" w:hAnsi="仿宋_GB2312" w:cs="仿宋_GB2312" w:hint="eastAsia"/>
          <w:bCs/>
          <w:sz w:val="28"/>
          <w:szCs w:val="28"/>
        </w:rPr>
        <w:t>变化。</w:t>
      </w:r>
    </w:p>
    <w:p w:rsidR="005B33F2" w:rsidRDefault="006434AB" w:rsidP="002924CE">
      <w:pPr>
        <w:tabs>
          <w:tab w:val="left" w:pos="1113"/>
        </w:tabs>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（七）“三公”经费预算安排情况</w:t>
      </w:r>
    </w:p>
    <w:p w:rsidR="005B33F2" w:rsidRDefault="00793C24">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2020年“三公经费”预算安排123.24万元，较去年预算减少2万元。其中公务接待30万元，公务用车运行维护费93.24万元。</w:t>
      </w:r>
    </w:p>
    <w:p w:rsidR="002924CE" w:rsidRPr="009552D3" w:rsidRDefault="002924CE" w:rsidP="002924CE">
      <w:pPr>
        <w:ind w:firstLine="630"/>
        <w:jc w:val="left"/>
        <w:rPr>
          <w:rFonts w:ascii="仿宋" w:eastAsia="仿宋" w:hAnsi="仿宋"/>
          <w:sz w:val="30"/>
          <w:szCs w:val="30"/>
        </w:rPr>
      </w:pPr>
      <w:r>
        <w:rPr>
          <w:rFonts w:ascii="仿宋_GB2312" w:eastAsia="仿宋_GB2312" w:hAnsi="仿宋_GB2312" w:cs="仿宋_GB2312" w:hint="eastAsia"/>
          <w:bCs/>
          <w:sz w:val="28"/>
          <w:szCs w:val="28"/>
        </w:rPr>
        <w:t>（八）</w:t>
      </w:r>
      <w:r>
        <w:rPr>
          <w:rFonts w:ascii="仿宋_GB2312" w:eastAsia="仿宋_GB2312" w:hint="eastAsia"/>
          <w:sz w:val="32"/>
          <w:szCs w:val="32"/>
        </w:rPr>
        <w:t xml:space="preserve">五、国有资产占有情况说明    </w:t>
      </w:r>
      <w:r w:rsidRPr="009552D3">
        <w:rPr>
          <w:rFonts w:ascii="仿宋" w:eastAsia="仿宋" w:hAnsi="仿宋"/>
          <w:sz w:val="30"/>
          <w:szCs w:val="30"/>
        </w:rPr>
        <w:t xml:space="preserve">本部门共有车辆 36 辆，其中，副 部（省）级及以上领导用车 0 辆、主要领导干部用车 0 辆、机 要通信用车 4 辆、应急保障用车 0 辆、执法执勤用车 10 辆、特 </w:t>
      </w:r>
      <w:proofErr w:type="gramStart"/>
      <w:r w:rsidRPr="009552D3">
        <w:rPr>
          <w:rFonts w:ascii="仿宋" w:eastAsia="仿宋" w:hAnsi="仿宋"/>
          <w:sz w:val="30"/>
          <w:szCs w:val="30"/>
        </w:rPr>
        <w:t>种专业</w:t>
      </w:r>
      <w:proofErr w:type="gramEnd"/>
      <w:r w:rsidRPr="009552D3">
        <w:rPr>
          <w:rFonts w:ascii="仿宋" w:eastAsia="仿宋" w:hAnsi="仿宋"/>
          <w:sz w:val="30"/>
          <w:szCs w:val="30"/>
        </w:rPr>
        <w:t>技术用车 0 辆、一般公务用车 20 辆，实物保障用车 2 辆； 单位价值 50 万元以上通用设备 0 台（套）；单位价值 100 万元 以上专用设备 0 台（套）。</w:t>
      </w:r>
    </w:p>
    <w:p w:rsidR="002924CE" w:rsidRPr="006029C5" w:rsidRDefault="002924CE" w:rsidP="002924CE">
      <w:pPr>
        <w:ind w:firstLineChars="200" w:firstLine="640"/>
        <w:rPr>
          <w:rFonts w:ascii="仿宋_GB2312" w:eastAsia="仿宋_GB2312"/>
          <w:sz w:val="32"/>
          <w:szCs w:val="32"/>
        </w:rPr>
      </w:pPr>
    </w:p>
    <w:p w:rsidR="002924CE" w:rsidRPr="009A7B69" w:rsidRDefault="002924CE" w:rsidP="002924CE">
      <w:pPr>
        <w:ind w:firstLineChars="200" w:firstLine="640"/>
        <w:rPr>
          <w:rFonts w:ascii="仿宋_GB2312" w:eastAsia="仿宋_GB2312"/>
          <w:sz w:val="32"/>
          <w:szCs w:val="32"/>
        </w:rPr>
      </w:pPr>
      <w:r>
        <w:rPr>
          <w:rFonts w:ascii="仿宋_GB2312" w:eastAsia="仿宋_GB2312" w:hint="eastAsia"/>
          <w:sz w:val="32"/>
          <w:szCs w:val="32"/>
        </w:rPr>
        <w:t>六、重点项目预算的绩效目标情况说明：本单位无重点</w:t>
      </w:r>
      <w:r>
        <w:rPr>
          <w:rFonts w:ascii="仿宋_GB2312" w:eastAsia="仿宋_GB2312" w:hint="eastAsia"/>
          <w:sz w:val="32"/>
          <w:szCs w:val="32"/>
        </w:rPr>
        <w:lastRenderedPageBreak/>
        <w:t>项目预算。</w:t>
      </w:r>
    </w:p>
    <w:p w:rsidR="002924CE" w:rsidRPr="002924CE" w:rsidRDefault="002924CE">
      <w:pPr>
        <w:spacing w:line="570" w:lineRule="exact"/>
        <w:ind w:firstLineChars="200" w:firstLine="560"/>
        <w:rPr>
          <w:rFonts w:ascii="仿宋_GB2312" w:eastAsia="仿宋_GB2312" w:hAnsi="仿宋_GB2312" w:cs="仿宋_GB2312"/>
          <w:bCs/>
          <w:sz w:val="28"/>
          <w:szCs w:val="28"/>
        </w:rPr>
      </w:pPr>
    </w:p>
    <w:p w:rsidR="002924CE" w:rsidRDefault="006434AB" w:rsidP="002924CE">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注：以下第五点“市局本级及所属单位预算草案的具体说明</w:t>
      </w:r>
      <w:bookmarkStart w:id="0" w:name="_GoBack"/>
      <w:bookmarkEnd w:id="0"/>
      <w:r>
        <w:rPr>
          <w:rFonts w:ascii="仿宋_GB2312" w:eastAsia="仿宋_GB2312" w:hAnsi="仿宋_GB2312" w:cs="仿宋_GB2312" w:hint="eastAsia"/>
          <w:sz w:val="28"/>
          <w:szCs w:val="28"/>
        </w:rPr>
        <w:t>”只有市交通局（2020年市人代会重点审查部门）需要在编制说明中列出，其他部门不需列示。</w:t>
      </w:r>
    </w:p>
    <w:p w:rsidR="005B33F2" w:rsidRDefault="006434AB" w:rsidP="002924CE">
      <w:pPr>
        <w:spacing w:line="570" w:lineRule="exact"/>
        <w:ind w:firstLineChars="200" w:firstLine="562"/>
        <w:rPr>
          <w:rFonts w:ascii="黑体" w:eastAsia="黑体" w:hAnsi="黑体" w:cs="黑体"/>
          <w:b/>
          <w:sz w:val="28"/>
          <w:szCs w:val="28"/>
        </w:rPr>
      </w:pPr>
      <w:r>
        <w:rPr>
          <w:rFonts w:ascii="黑体" w:eastAsia="黑体" w:hAnsi="黑体" w:cs="黑体" w:hint="eastAsia"/>
          <w:b/>
          <w:sz w:val="28"/>
          <w:szCs w:val="28"/>
        </w:rPr>
        <w:t>五、市局（委、办）本级及所属单位预算草案的具体说明</w:t>
      </w:r>
    </w:p>
    <w:p w:rsidR="005B33F2" w:rsidRDefault="006434AB" w:rsidP="002924CE">
      <w:pPr>
        <w:spacing w:line="570" w:lineRule="exact"/>
        <w:ind w:firstLineChars="200"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要求：</w:t>
      </w:r>
      <w:r>
        <w:rPr>
          <w:rFonts w:ascii="仿宋_GB2312" w:eastAsia="仿宋_GB2312" w:hAnsi="仿宋_GB2312" w:cs="仿宋_GB2312" w:hint="eastAsia"/>
          <w:sz w:val="28"/>
          <w:szCs w:val="28"/>
        </w:rPr>
        <w:t>逐个说明所属二级预算单位2020年的基本情况和预算收支总体情况。</w:t>
      </w:r>
    </w:p>
    <w:p w:rsidR="005B33F2" w:rsidRDefault="006434AB" w:rsidP="002924CE">
      <w:pPr>
        <w:spacing w:line="570" w:lineRule="exact"/>
        <w:ind w:firstLineChars="200" w:firstLine="562"/>
        <w:rPr>
          <w:rFonts w:ascii="仿宋_GB2312" w:eastAsia="仿宋_GB2312" w:hAnsi="仿宋_GB2312" w:cs="仿宋_GB2312"/>
          <w:sz w:val="28"/>
          <w:szCs w:val="28"/>
        </w:rPr>
      </w:pPr>
      <w:r>
        <w:rPr>
          <w:rFonts w:ascii="仿宋_GB2312" w:eastAsia="仿宋_GB2312" w:hAnsi="仿宋_GB2312" w:cs="仿宋_GB2312" w:hint="eastAsia"/>
          <w:b/>
          <w:sz w:val="28"/>
          <w:szCs w:val="28"/>
        </w:rPr>
        <w:t>样式</w:t>
      </w:r>
      <w:r>
        <w:rPr>
          <w:rFonts w:ascii="仿宋_GB2312" w:eastAsia="仿宋_GB2312" w:hAnsi="仿宋_GB2312" w:cs="仿宋_GB2312" w:hint="eastAsia"/>
          <w:sz w:val="28"/>
          <w:szCs w:val="28"/>
        </w:rPr>
        <w:t>：（一）xx单位</w:t>
      </w:r>
    </w:p>
    <w:p w:rsidR="005B33F2" w:rsidRDefault="006434AB">
      <w:pPr>
        <w:spacing w:line="570" w:lineRule="exact"/>
        <w:ind w:firstLineChars="200"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b/>
          <w:sz w:val="28"/>
          <w:szCs w:val="28"/>
        </w:rPr>
        <w:t>、基本情况</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单位编制人数xx人，实有人数xx人，离休人员xx人，退休人员xx人。在校学生xx人。</w:t>
      </w:r>
    </w:p>
    <w:p w:rsidR="005B33F2" w:rsidRDefault="006434AB">
      <w:pPr>
        <w:spacing w:line="570" w:lineRule="exact"/>
        <w:ind w:firstLineChars="200" w:firstLine="560"/>
        <w:rPr>
          <w:rFonts w:ascii="仿宋_GB2312" w:eastAsia="仿宋_GB2312" w:hAnsi="仿宋_GB2312" w:cs="仿宋_GB2312"/>
          <w:b/>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b/>
          <w:sz w:val="28"/>
          <w:szCs w:val="28"/>
        </w:rPr>
        <w:t>2020年预算收支情况</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2020年收入预算总额xx万元，与上年预算相比增减 %，说明情况。其中：财政拨款收入xx万元，政府性基金拨款收入xx万元，事业收入xx万元，事业单位经营收入xx万元，附属单位上缴收入xx万元，上级补助收入xx万元……</w:t>
      </w:r>
    </w:p>
    <w:p w:rsidR="005B33F2" w:rsidRDefault="006434AB">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2020年支出预算总额xx万元，与上年预算相比增减 %，说明情况。其中：基本支出xx万元，项目支出xx万元，事业单位经营支出xx万元，对附属单位补助支出xx万元，……</w:t>
      </w:r>
    </w:p>
    <w:p w:rsidR="00681886" w:rsidRDefault="00681886" w:rsidP="00681886">
      <w:pPr>
        <w:jc w:val="center"/>
        <w:rPr>
          <w:rFonts w:ascii="仿宋_GB2312" w:eastAsia="仿宋_GB2312"/>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681886" w:rsidRDefault="00681886" w:rsidP="00681886">
      <w:pPr>
        <w:rPr>
          <w:rFonts w:ascii="仿宋_GB2312" w:eastAsia="仿宋_GB2312"/>
          <w:sz w:val="32"/>
          <w:szCs w:val="32"/>
        </w:rPr>
      </w:pPr>
      <w:r>
        <w:rPr>
          <w:rFonts w:ascii="仿宋_GB2312" w:eastAsia="仿宋_GB2312" w:hint="eastAsia"/>
          <w:sz w:val="32"/>
          <w:szCs w:val="32"/>
        </w:rPr>
        <w:t>（对部门决算中涉及的收入科目、支出功能分类科目（</w:t>
      </w:r>
      <w:proofErr w:type="gramStart"/>
      <w:r>
        <w:rPr>
          <w:rFonts w:ascii="仿宋_GB2312" w:eastAsia="仿宋_GB2312" w:hint="eastAsia"/>
          <w:sz w:val="32"/>
          <w:szCs w:val="32"/>
        </w:rPr>
        <w:t>明细到项级</w:t>
      </w:r>
      <w:proofErr w:type="gramEnd"/>
      <w:r>
        <w:rPr>
          <w:rFonts w:ascii="仿宋_GB2312" w:eastAsia="仿宋_GB2312" w:hint="eastAsia"/>
          <w:sz w:val="32"/>
          <w:szCs w:val="32"/>
        </w:rPr>
        <w:t>），结合部门实际，参照《2017年政府收支分类科目》的规范说明进行解释。）</w:t>
      </w:r>
    </w:p>
    <w:p w:rsidR="00681886" w:rsidRDefault="00681886" w:rsidP="00681886">
      <w:pPr>
        <w:ind w:firstLineChars="200" w:firstLine="640"/>
        <w:rPr>
          <w:rFonts w:ascii="仿宋_GB2312" w:eastAsia="仿宋_GB2312"/>
          <w:sz w:val="32"/>
          <w:szCs w:val="32"/>
        </w:rPr>
      </w:pPr>
      <w:r>
        <w:rPr>
          <w:rFonts w:ascii="仿宋_GB2312" w:eastAsia="仿宋_GB2312" w:hint="eastAsia"/>
          <w:sz w:val="32"/>
          <w:szCs w:val="32"/>
        </w:rPr>
        <w:lastRenderedPageBreak/>
        <w:t>（一）1.财政拨款：指市级财政当年拨付的资金。</w:t>
      </w:r>
    </w:p>
    <w:p w:rsidR="00681886" w:rsidRDefault="00681886" w:rsidP="00681886">
      <w:pPr>
        <w:rPr>
          <w:rFonts w:ascii="仿宋_GB2312" w:eastAsia="仿宋_GB2312"/>
          <w:sz w:val="32"/>
          <w:szCs w:val="32"/>
        </w:rPr>
      </w:pPr>
      <w:r>
        <w:rPr>
          <w:rFonts w:ascii="仿宋_GB2312" w:eastAsia="仿宋_GB2312" w:hint="eastAsia"/>
          <w:sz w:val="32"/>
          <w:szCs w:val="32"/>
        </w:rPr>
        <w:t xml:space="preserve">          2.上年结转和结余：填列2018年全部结转和结余的资金数，包括当年结转结余资金和历年滚存结转结余资金。</w:t>
      </w:r>
    </w:p>
    <w:p w:rsidR="00681886" w:rsidRDefault="00681886" w:rsidP="00681886">
      <w:pPr>
        <w:ind w:firstLineChars="200" w:firstLine="640"/>
        <w:rPr>
          <w:rFonts w:ascii="仿宋_GB2312" w:eastAsia="仿宋_GB2312"/>
          <w:sz w:val="32"/>
          <w:szCs w:val="32"/>
        </w:rPr>
      </w:pPr>
      <w:r>
        <w:rPr>
          <w:rFonts w:ascii="仿宋_GB2312" w:eastAsia="仿宋_GB2312" w:hint="eastAsia"/>
          <w:sz w:val="32"/>
          <w:szCs w:val="32"/>
        </w:rPr>
        <w:t>（二）1、机关服务：反映为行政单位（包括思想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2、专项服务：反映指定范围内的国家领导人、最高人民法院院长、最高人民检察院检察长、已退出领导岗位的政府领导人以及其他有关政府领导同志的生活服务管理支出。</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 xml:space="preserve">3、专项业务活动：反映各级政府举行各类重大活动、召开重要会议（如国务院一类会议、国庆招待会、全国劳模大会）的支出，政府机关房地产管理、公务用车管理等方面的支出。  </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4、其他一般公共服务支出：反映上述项目未包括的一般公共服务支出。</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5、机关事业单位基本养老保险缴费支出：反映机关事业单位实施养老保险制度由单位缴纳的基本养老保险费支出。</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lastRenderedPageBreak/>
        <w:t>6、事业单位医疗：反映财政部门安排的事业单位基本医疗保险缴费经费，未参加医疗保险的事业单位的公费医疗经费，按国家规定享受离休人员待遇的医疗经费。</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7、公务员医疗补助：反映财政部门安排的公务员医疗补助经费。</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8、其他行政事业单位医疗支出：反映除上述项目以外的其他用于行政事业单位医疗方面的支出。</w:t>
      </w:r>
    </w:p>
    <w:p w:rsidR="00681886" w:rsidRDefault="00681886" w:rsidP="00681886">
      <w:pPr>
        <w:ind w:firstLineChars="525" w:firstLine="1680"/>
        <w:rPr>
          <w:rFonts w:ascii="仿宋_GB2312" w:eastAsia="仿宋_GB2312"/>
          <w:sz w:val="32"/>
          <w:szCs w:val="32"/>
        </w:rPr>
      </w:pPr>
      <w:r>
        <w:rPr>
          <w:rFonts w:ascii="仿宋_GB2312" w:eastAsia="仿宋_GB2312" w:hint="eastAsia"/>
          <w:sz w:val="32"/>
          <w:szCs w:val="32"/>
        </w:rPr>
        <w:t>9、住房公积金：反映行政事业单位按人力资源和社会保障部、财政部规定的基本工资和津贴补贴以及规定比例为职工缴纳的住房公积金。</w:t>
      </w:r>
    </w:p>
    <w:p w:rsidR="00681886" w:rsidRDefault="00681886" w:rsidP="00681886">
      <w:pPr>
        <w:ind w:firstLineChars="200" w:firstLine="640"/>
        <w:rPr>
          <w:rFonts w:ascii="仿宋_GB2312" w:eastAsia="仿宋_GB2312"/>
          <w:sz w:val="32"/>
          <w:szCs w:val="32"/>
        </w:rPr>
      </w:pPr>
      <w:r>
        <w:rPr>
          <w:rFonts w:ascii="仿宋_GB2312" w:eastAsia="仿宋_GB2312" w:hint="eastAsia"/>
          <w:sz w:val="32"/>
          <w:szCs w:val="32"/>
        </w:rPr>
        <w:t>（三）“三公经费”：反映财政拨款安排的因公出国（境）费、公务用车购置及运行费和公务接待费。其中，因公出国（境）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单位公务出国（境）的国际旅费、国外城市交通费、住宿费、伙食费、培训费、公杂费等支出；公务用车购置及运行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单位公务车辆购置支出（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购置税）及租用费、燃料费、维修费、过桥过路费、保险费、安全奖励费用等支出；公务接待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681886" w:rsidRPr="00681886" w:rsidRDefault="00681886">
      <w:pPr>
        <w:spacing w:line="570" w:lineRule="exact"/>
        <w:ind w:firstLineChars="200" w:firstLine="560"/>
        <w:rPr>
          <w:rFonts w:ascii="仿宋_GB2312" w:eastAsia="仿宋_GB2312" w:hAnsi="仿宋_GB2312" w:cs="仿宋_GB2312"/>
          <w:sz w:val="28"/>
          <w:szCs w:val="28"/>
        </w:rPr>
      </w:pPr>
    </w:p>
    <w:sectPr w:rsidR="00681886" w:rsidRPr="00681886" w:rsidSect="005B33F2">
      <w:headerReference w:type="default" r:id="rId9"/>
      <w:footerReference w:type="even" r:id="rId10"/>
      <w:pgSz w:w="11906" w:h="16838"/>
      <w:pgMar w:top="1440" w:right="1800" w:bottom="1440" w:left="1800" w:header="851"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AA6" w:rsidRDefault="002C5AA6" w:rsidP="005B33F2">
      <w:r>
        <w:separator/>
      </w:r>
    </w:p>
  </w:endnote>
  <w:endnote w:type="continuationSeparator" w:id="0">
    <w:p w:rsidR="002C5AA6" w:rsidRDefault="002C5AA6" w:rsidP="005B33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F2" w:rsidRDefault="006B040D">
    <w:pPr>
      <w:pStyle w:val="a3"/>
      <w:framePr w:wrap="around" w:vAnchor="text" w:hAnchor="margin" w:xAlign="center" w:y="1"/>
      <w:rPr>
        <w:rStyle w:val="a5"/>
      </w:rPr>
    </w:pPr>
    <w:r>
      <w:fldChar w:fldCharType="begin"/>
    </w:r>
    <w:r w:rsidR="006434AB">
      <w:rPr>
        <w:rStyle w:val="a5"/>
      </w:rPr>
      <w:instrText xml:space="preserve">PAGE  </w:instrText>
    </w:r>
    <w:r>
      <w:fldChar w:fldCharType="end"/>
    </w:r>
  </w:p>
  <w:p w:rsidR="005B33F2" w:rsidRDefault="005B33F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AA6" w:rsidRDefault="002C5AA6" w:rsidP="005B33F2">
      <w:r>
        <w:separator/>
      </w:r>
    </w:p>
  </w:footnote>
  <w:footnote w:type="continuationSeparator" w:id="0">
    <w:p w:rsidR="002C5AA6" w:rsidRDefault="002C5AA6" w:rsidP="005B33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F2" w:rsidRDefault="005B33F2">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C542D"/>
    <w:multiLevelType w:val="hybridMultilevel"/>
    <w:tmpl w:val="9A60F5BA"/>
    <w:lvl w:ilvl="0" w:tplc="52B6795E">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0DF6CF9"/>
    <w:multiLevelType w:val="hybridMultilevel"/>
    <w:tmpl w:val="3FFAE02C"/>
    <w:lvl w:ilvl="0" w:tplc="F588F3B0">
      <w:start w:val="3"/>
      <w:numFmt w:val="decimal"/>
      <w:lvlText w:val="%1．"/>
      <w:lvlJc w:val="left"/>
      <w:pPr>
        <w:ind w:left="810" w:hanging="72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2">
    <w:nsid w:val="530B07C1"/>
    <w:multiLevelType w:val="hybridMultilevel"/>
    <w:tmpl w:val="857203A8"/>
    <w:lvl w:ilvl="0" w:tplc="993AB118">
      <w:start w:val="4"/>
      <w:numFmt w:val="decimal"/>
      <w:lvlText w:val="%1．"/>
      <w:lvlJc w:val="left"/>
      <w:pPr>
        <w:ind w:left="870" w:hanging="7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3">
    <w:nsid w:val="54383ED5"/>
    <w:multiLevelType w:val="hybridMultilevel"/>
    <w:tmpl w:val="9CC0F96A"/>
    <w:lvl w:ilvl="0" w:tplc="46023110">
      <w:start w:val="4"/>
      <w:numFmt w:val="decimal"/>
      <w:lvlText w:val="%1．"/>
      <w:lvlJc w:val="left"/>
      <w:pPr>
        <w:ind w:left="870" w:hanging="7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4">
    <w:nsid w:val="59ACAF5F"/>
    <w:multiLevelType w:val="singleLevel"/>
    <w:tmpl w:val="59ACAF5F"/>
    <w:lvl w:ilvl="0">
      <w:start w:val="6"/>
      <w:numFmt w:val="chineseCounting"/>
      <w:suff w:val="nothing"/>
      <w:lvlText w:val="（%1）"/>
      <w:lvlJc w:val="left"/>
    </w:lvl>
  </w:abstractNum>
  <w:abstractNum w:abstractNumId="5">
    <w:nsid w:val="7D811805"/>
    <w:multiLevelType w:val="hybridMultilevel"/>
    <w:tmpl w:val="1A00B686"/>
    <w:lvl w:ilvl="0" w:tplc="D0EEE5DE">
      <w:start w:val="3"/>
      <w:numFmt w:val="decimal"/>
      <w:lvlText w:val="%1．"/>
      <w:lvlJc w:val="left"/>
      <w:pPr>
        <w:ind w:left="870" w:hanging="7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A95701"/>
    <w:rsid w:val="002924CE"/>
    <w:rsid w:val="002C5AA6"/>
    <w:rsid w:val="00555575"/>
    <w:rsid w:val="005B2343"/>
    <w:rsid w:val="005B33F2"/>
    <w:rsid w:val="005D4B19"/>
    <w:rsid w:val="006434AB"/>
    <w:rsid w:val="00674C72"/>
    <w:rsid w:val="00681886"/>
    <w:rsid w:val="006B040D"/>
    <w:rsid w:val="00793C24"/>
    <w:rsid w:val="00863EA0"/>
    <w:rsid w:val="00864ECB"/>
    <w:rsid w:val="008D3A4C"/>
    <w:rsid w:val="008D4849"/>
    <w:rsid w:val="009A5AC3"/>
    <w:rsid w:val="00A42F97"/>
    <w:rsid w:val="00A95905"/>
    <w:rsid w:val="00AE2024"/>
    <w:rsid w:val="00B054BD"/>
    <w:rsid w:val="00B63215"/>
    <w:rsid w:val="00BC7381"/>
    <w:rsid w:val="00C120DB"/>
    <w:rsid w:val="00C65779"/>
    <w:rsid w:val="00DF6C70"/>
    <w:rsid w:val="00E20C93"/>
    <w:rsid w:val="00E65DF1"/>
    <w:rsid w:val="02A758E2"/>
    <w:rsid w:val="03A95701"/>
    <w:rsid w:val="08E150F2"/>
    <w:rsid w:val="1FBA0CE1"/>
    <w:rsid w:val="21610368"/>
    <w:rsid w:val="25BC354F"/>
    <w:rsid w:val="2E201EB5"/>
    <w:rsid w:val="37A13162"/>
    <w:rsid w:val="3AD3795F"/>
    <w:rsid w:val="3F342416"/>
    <w:rsid w:val="449C3295"/>
    <w:rsid w:val="44B26E56"/>
    <w:rsid w:val="48DA02A5"/>
    <w:rsid w:val="4C0B51A1"/>
    <w:rsid w:val="5CCE7FC2"/>
    <w:rsid w:val="5D5B07CD"/>
    <w:rsid w:val="61441586"/>
    <w:rsid w:val="64D37477"/>
    <w:rsid w:val="6D535020"/>
    <w:rsid w:val="7C0B41D4"/>
    <w:rsid w:val="7C387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3F2"/>
    <w:pPr>
      <w:widowControl w:val="0"/>
      <w:jc w:val="both"/>
    </w:pPr>
    <w:rPr>
      <w:kern w:val="2"/>
      <w:sz w:val="21"/>
      <w:szCs w:val="24"/>
    </w:rPr>
  </w:style>
  <w:style w:type="paragraph" w:styleId="1">
    <w:name w:val="heading 1"/>
    <w:basedOn w:val="a"/>
    <w:next w:val="a"/>
    <w:qFormat/>
    <w:rsid w:val="005B33F2"/>
    <w:pPr>
      <w:keepNext/>
      <w:keepLines/>
      <w:spacing w:line="576" w:lineRule="auto"/>
      <w:outlineLvl w:val="0"/>
    </w:pPr>
    <w:rPr>
      <w:b/>
      <w:kern w:val="44"/>
      <w:sz w:val="44"/>
    </w:rPr>
  </w:style>
  <w:style w:type="paragraph" w:styleId="2">
    <w:name w:val="heading 2"/>
    <w:basedOn w:val="a"/>
    <w:next w:val="a"/>
    <w:qFormat/>
    <w:rsid w:val="005B33F2"/>
    <w:pPr>
      <w:keepNext/>
      <w:keepLines/>
      <w:spacing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B33F2"/>
    <w:pPr>
      <w:tabs>
        <w:tab w:val="center" w:pos="4153"/>
        <w:tab w:val="right" w:pos="8306"/>
      </w:tabs>
      <w:snapToGrid w:val="0"/>
      <w:jc w:val="left"/>
    </w:pPr>
    <w:rPr>
      <w:sz w:val="18"/>
      <w:szCs w:val="18"/>
    </w:rPr>
  </w:style>
  <w:style w:type="paragraph" w:styleId="a4">
    <w:name w:val="header"/>
    <w:basedOn w:val="a"/>
    <w:qFormat/>
    <w:rsid w:val="005B33F2"/>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5B33F2"/>
  </w:style>
  <w:style w:type="paragraph" w:styleId="a6">
    <w:name w:val="List Paragraph"/>
    <w:basedOn w:val="a"/>
    <w:uiPriority w:val="34"/>
    <w:qFormat/>
    <w:rsid w:val="00863EA0"/>
    <w:pPr>
      <w:ind w:firstLineChars="200" w:firstLine="420"/>
    </w:pPr>
    <w:rPr>
      <w:rFonts w:ascii="Calibri" w:hAnsi="Calibri"/>
      <w:szCs w:val="22"/>
    </w:rPr>
  </w:style>
  <w:style w:type="paragraph" w:styleId="a7">
    <w:name w:val="Balloon Text"/>
    <w:basedOn w:val="a"/>
    <w:link w:val="Char"/>
    <w:rsid w:val="002924CE"/>
    <w:rPr>
      <w:sz w:val="18"/>
      <w:szCs w:val="18"/>
    </w:rPr>
  </w:style>
  <w:style w:type="character" w:customStyle="1" w:styleId="Char">
    <w:name w:val="批注框文本 Char"/>
    <w:basedOn w:val="a0"/>
    <w:link w:val="a7"/>
    <w:rsid w:val="002924C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83CA8B-2A24-49C6-BBF1-27B119AA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145</TotalTime>
  <Pages>7</Pages>
  <Words>500</Words>
  <Characters>2850</Characters>
  <Application>Microsoft Office Word</Application>
  <DocSecurity>0</DocSecurity>
  <Lines>23</Lines>
  <Paragraphs>6</Paragraphs>
  <ScaleCrop>false</ScaleCrop>
  <Company>微软中国</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四眼妞</dc:creator>
  <cp:lastModifiedBy>微软用户</cp:lastModifiedBy>
  <cp:revision>15</cp:revision>
  <cp:lastPrinted>2021-05-28T05:50:00Z</cp:lastPrinted>
  <dcterms:created xsi:type="dcterms:W3CDTF">2018-09-11T11:54:00Z</dcterms:created>
  <dcterms:modified xsi:type="dcterms:W3CDTF">2021-05-28T06:16:00Z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